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华文中宋" w:hAnsi="华文中宋" w:eastAsia="华文中宋"/>
          <w:color w:val="FF0000"/>
          <w:sz w:val="52"/>
          <w:szCs w:val="52"/>
        </w:rPr>
      </w:pPr>
      <w:r>
        <w:rPr>
          <w:rFonts w:hint="eastAsia" w:ascii="华文中宋" w:hAnsi="华文中宋" w:eastAsia="华文中宋"/>
          <w:color w:val="FF0000"/>
          <w:sz w:val="52"/>
          <w:szCs w:val="52"/>
        </w:rPr>
        <w:t>郑</w:t>
      </w:r>
      <w:r>
        <w:rPr>
          <w:rFonts w:ascii="华文中宋" w:hAnsi="华文中宋" w:eastAsia="华文中宋"/>
          <w:color w:val="FF0000"/>
          <w:sz w:val="52"/>
          <w:szCs w:val="52"/>
        </w:rPr>
        <w:t xml:space="preserve"> </w:t>
      </w:r>
      <w:r>
        <w:rPr>
          <w:rFonts w:hint="eastAsia" w:ascii="华文中宋" w:hAnsi="华文中宋" w:eastAsia="华文中宋"/>
          <w:color w:val="FF0000"/>
          <w:sz w:val="52"/>
          <w:szCs w:val="52"/>
        </w:rPr>
        <w:t>州</w:t>
      </w:r>
      <w:r>
        <w:rPr>
          <w:rFonts w:ascii="华文中宋" w:hAnsi="华文中宋" w:eastAsia="华文中宋"/>
          <w:color w:val="FF0000"/>
          <w:sz w:val="52"/>
          <w:szCs w:val="52"/>
        </w:rPr>
        <w:t xml:space="preserve"> </w:t>
      </w:r>
      <w:r>
        <w:rPr>
          <w:rFonts w:hint="eastAsia" w:ascii="华文中宋" w:hAnsi="华文中宋" w:eastAsia="华文中宋"/>
          <w:color w:val="FF0000"/>
          <w:sz w:val="52"/>
          <w:szCs w:val="52"/>
        </w:rPr>
        <w:t>航</w:t>
      </w:r>
      <w:r>
        <w:rPr>
          <w:rFonts w:ascii="华文中宋" w:hAnsi="华文中宋" w:eastAsia="华文中宋"/>
          <w:color w:val="FF0000"/>
          <w:sz w:val="52"/>
          <w:szCs w:val="52"/>
        </w:rPr>
        <w:t xml:space="preserve"> </w:t>
      </w:r>
      <w:r>
        <w:rPr>
          <w:rFonts w:hint="eastAsia" w:ascii="华文中宋" w:hAnsi="华文中宋" w:eastAsia="华文中宋"/>
          <w:color w:val="FF0000"/>
          <w:sz w:val="52"/>
          <w:szCs w:val="52"/>
        </w:rPr>
        <w:t>院</w:t>
      </w:r>
      <w:r>
        <w:rPr>
          <w:rFonts w:ascii="华文中宋" w:hAnsi="华文中宋" w:eastAsia="华文中宋"/>
          <w:color w:val="FF0000"/>
          <w:sz w:val="52"/>
          <w:szCs w:val="52"/>
        </w:rPr>
        <w:t xml:space="preserve"> </w:t>
      </w:r>
      <w:r>
        <w:rPr>
          <w:rFonts w:hint="eastAsia" w:ascii="华文中宋" w:hAnsi="华文中宋" w:eastAsia="华文中宋"/>
          <w:color w:val="FF0000"/>
          <w:sz w:val="52"/>
          <w:szCs w:val="52"/>
        </w:rPr>
        <w:t>精</w:t>
      </w:r>
      <w:r>
        <w:rPr>
          <w:rFonts w:ascii="华文中宋" w:hAnsi="华文中宋" w:eastAsia="华文中宋"/>
          <w:color w:val="FF0000"/>
          <w:sz w:val="52"/>
          <w:szCs w:val="52"/>
        </w:rPr>
        <w:t xml:space="preserve"> </w:t>
      </w:r>
      <w:r>
        <w:rPr>
          <w:rFonts w:hint="eastAsia" w:ascii="华文中宋" w:hAnsi="华文中宋" w:eastAsia="华文中宋"/>
          <w:color w:val="FF0000"/>
          <w:sz w:val="52"/>
          <w:szCs w:val="52"/>
        </w:rPr>
        <w:t>神</w:t>
      </w:r>
      <w:r>
        <w:rPr>
          <w:rFonts w:ascii="华文中宋" w:hAnsi="华文中宋" w:eastAsia="华文中宋"/>
          <w:color w:val="FF0000"/>
          <w:sz w:val="52"/>
          <w:szCs w:val="52"/>
        </w:rPr>
        <w:t xml:space="preserve"> </w:t>
      </w:r>
      <w:r>
        <w:rPr>
          <w:rFonts w:hint="eastAsia" w:ascii="华文中宋" w:hAnsi="华文中宋" w:eastAsia="华文中宋"/>
          <w:color w:val="FF0000"/>
          <w:sz w:val="52"/>
          <w:szCs w:val="52"/>
        </w:rPr>
        <w:t>文</w:t>
      </w:r>
      <w:r>
        <w:rPr>
          <w:rFonts w:ascii="华文中宋" w:hAnsi="华文中宋" w:eastAsia="华文中宋"/>
          <w:color w:val="FF0000"/>
          <w:sz w:val="52"/>
          <w:szCs w:val="52"/>
        </w:rPr>
        <w:t xml:space="preserve"> </w:t>
      </w:r>
      <w:r>
        <w:rPr>
          <w:rFonts w:hint="eastAsia" w:ascii="华文中宋" w:hAnsi="华文中宋" w:eastAsia="华文中宋"/>
          <w:color w:val="FF0000"/>
          <w:sz w:val="52"/>
          <w:szCs w:val="52"/>
        </w:rPr>
        <w:t>明</w:t>
      </w:r>
      <w:r>
        <w:rPr>
          <w:rFonts w:ascii="华文中宋" w:hAnsi="华文中宋" w:eastAsia="华文中宋"/>
          <w:color w:val="FF0000"/>
          <w:sz w:val="52"/>
          <w:szCs w:val="52"/>
        </w:rPr>
        <w:t xml:space="preserve"> </w:t>
      </w:r>
      <w:r>
        <w:rPr>
          <w:rFonts w:hint="eastAsia" w:ascii="华文中宋" w:hAnsi="华文中宋" w:eastAsia="华文中宋"/>
          <w:color w:val="FF0000"/>
          <w:sz w:val="52"/>
          <w:szCs w:val="52"/>
        </w:rPr>
        <w:t>建</w:t>
      </w:r>
      <w:r>
        <w:rPr>
          <w:rFonts w:ascii="华文中宋" w:hAnsi="华文中宋" w:eastAsia="华文中宋"/>
          <w:color w:val="FF0000"/>
          <w:sz w:val="52"/>
          <w:szCs w:val="52"/>
        </w:rPr>
        <w:t xml:space="preserve"> </w:t>
      </w:r>
      <w:r>
        <w:rPr>
          <w:rFonts w:hint="eastAsia" w:ascii="华文中宋" w:hAnsi="华文中宋" w:eastAsia="华文中宋"/>
          <w:color w:val="FF0000"/>
          <w:sz w:val="52"/>
          <w:szCs w:val="52"/>
        </w:rPr>
        <w:t>设</w:t>
      </w:r>
    </w:p>
    <w:p>
      <w:pPr>
        <w:jc w:val="center"/>
      </w:pPr>
    </w:p>
    <w:p>
      <w:pPr>
        <w:jc w:val="center"/>
        <w:rPr>
          <w:rFonts w:ascii="华文中宋" w:hAnsi="华文中宋" w:eastAsia="华文中宋"/>
          <w:color w:val="FF0000"/>
          <w:sz w:val="140"/>
          <w:szCs w:val="140"/>
        </w:rPr>
      </w:pPr>
      <w:r>
        <w:rPr>
          <w:rFonts w:hint="eastAsia" w:ascii="华文中宋" w:hAnsi="华文中宋" w:eastAsia="华文中宋"/>
          <w:color w:val="FF0000"/>
          <w:sz w:val="140"/>
          <w:szCs w:val="140"/>
        </w:rPr>
        <w:t>简</w:t>
      </w:r>
      <w:r>
        <w:rPr>
          <w:rFonts w:ascii="华文中宋" w:hAnsi="华文中宋" w:eastAsia="华文中宋"/>
          <w:color w:val="FF0000"/>
          <w:sz w:val="140"/>
          <w:szCs w:val="140"/>
        </w:rPr>
        <w:t xml:space="preserve">  </w:t>
      </w:r>
      <w:r>
        <w:rPr>
          <w:rFonts w:hint="eastAsia" w:ascii="华文中宋" w:hAnsi="华文中宋" w:eastAsia="华文中宋"/>
          <w:color w:val="FF0000"/>
          <w:sz w:val="140"/>
          <w:szCs w:val="140"/>
        </w:rPr>
        <w:t>报</w:t>
      </w:r>
    </w:p>
    <w:p>
      <w:pPr>
        <w:jc w:val="center"/>
        <w:rPr>
          <w:rFonts w:ascii="黑体" w:hAnsi="黑体" w:eastAsia="黑体"/>
          <w:b/>
          <w:sz w:val="28"/>
          <w:szCs w:val="28"/>
        </w:rPr>
      </w:pPr>
      <w:r>
        <w:rPr>
          <w:rFonts w:hint="eastAsia" w:ascii="黑体" w:hAnsi="黑体" w:eastAsia="黑体"/>
          <w:b/>
          <w:sz w:val="28"/>
          <w:szCs w:val="28"/>
        </w:rPr>
        <w:t>（第16期）</w:t>
      </w:r>
    </w:p>
    <w:p>
      <w:pPr/>
      <w:r>
        <w:t xml:space="preserve"> </w:t>
      </w:r>
    </w:p>
    <w:p>
      <w:pPr>
        <w:rPr>
          <w:rFonts w:ascii="华文中宋" w:hAnsi="华文中宋" w:eastAsia="华文中宋"/>
          <w:sz w:val="32"/>
          <w:szCs w:val="32"/>
        </w:rPr>
      </w:pPr>
      <w:r>
        <w:rPr>
          <w:rFonts w:hint="eastAsia" w:ascii="华文中宋" w:hAnsi="华文中宋" w:eastAsia="华文中宋"/>
          <w:sz w:val="32"/>
          <w:szCs w:val="32"/>
        </w:rPr>
        <w:t>郑航文明办</w:t>
      </w:r>
      <w:r>
        <w:rPr>
          <w:rFonts w:ascii="华文中宋" w:hAnsi="华文中宋" w:eastAsia="华文中宋"/>
          <w:sz w:val="32"/>
          <w:szCs w:val="32"/>
        </w:rPr>
        <w:t xml:space="preserve">                        201</w:t>
      </w:r>
      <w:r>
        <w:rPr>
          <w:rFonts w:hint="eastAsia" w:ascii="华文中宋" w:hAnsi="华文中宋" w:eastAsia="华文中宋"/>
          <w:sz w:val="32"/>
          <w:szCs w:val="32"/>
        </w:rPr>
        <w:t>5年12月31日</w:t>
      </w:r>
    </w:p>
    <w:p>
      <w:pPr>
        <w:pStyle w:val="5"/>
        <w:ind w:firstLineChars="0"/>
        <w:rPr>
          <w:rFonts w:ascii="华文中宋" w:hAnsi="华文中宋" w:eastAsia="华文中宋"/>
          <w:color w:val="FF0000"/>
          <w:sz w:val="32"/>
          <w:szCs w:val="32"/>
        </w:rPr>
      </w:pPr>
      <w:r>
        <w:rPr>
          <w:szCs w:val="22"/>
        </w:rPr>
        <mc:AlternateContent>
          <mc:Choice Requires="wps">
            <w:drawing>
              <wp:anchor distT="0" distB="0" distL="114300" distR="114300" simplePos="0" relativeHeight="251658240" behindDoc="0" locked="0" layoutInCell="1" allowOverlap="1">
                <wp:simplePos x="0" y="0"/>
                <wp:positionH relativeFrom="column">
                  <wp:posOffset>-113665</wp:posOffset>
                </wp:positionH>
                <wp:positionV relativeFrom="paragraph">
                  <wp:posOffset>98425</wp:posOffset>
                </wp:positionV>
                <wp:extent cx="5551805" cy="635"/>
                <wp:effectExtent l="0" t="4445" r="10795" b="33020"/>
                <wp:wrapNone/>
                <wp:docPr id="1" name="直线 1025"/>
                <wp:cNvGraphicFramePr/>
                <a:graphic xmlns:a="http://schemas.openxmlformats.org/drawingml/2006/main">
                  <a:graphicData uri="http://schemas.microsoft.com/office/word/2010/wordprocessingShape">
                    <wps:wsp>
                      <wps:cNvSpPr/>
                      <wps:spPr>
                        <a:xfrm>
                          <a:off x="0" y="0"/>
                          <a:ext cx="5551805" cy="635"/>
                        </a:xfrm>
                        <a:prstGeom prst="line">
                          <a:avLst/>
                        </a:prstGeom>
                        <a:ln w="9525" cap="flat" cmpd="sng">
                          <a:solidFill>
                            <a:srgbClr val="FF0000"/>
                          </a:solidFill>
                          <a:prstDash val="solid"/>
                          <a:headEnd type="none" w="med" len="med"/>
                          <a:tailEnd type="none" w="med" len="med"/>
                        </a:ln>
                        <a:effectLst>
                          <a:outerShdw dist="20030" dir="5400000" rotWithShape="0">
                            <a:srgbClr val="000000">
                              <a:alpha val="25000"/>
                            </a:srgbClr>
                          </a:outerShdw>
                        </a:effectLst>
                      </wps:spPr>
                      <wps:bodyPr upright="1"/>
                    </wps:wsp>
                  </a:graphicData>
                </a:graphic>
              </wp:anchor>
            </w:drawing>
          </mc:Choice>
          <mc:Fallback>
            <w:pict>
              <v:line id="直线 1025" o:spid="_x0000_s1026" o:spt="20" style="position:absolute;left:0pt;margin-left:-8.95pt;margin-top:7.75pt;height:0.05pt;width:437.15pt;z-index:251658240;mso-width-relative:page;mso-height-relative:page;" filled="f" stroked="t" coordsize="21600,21600" o:gfxdata="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GjpyNgAAAAJAQAADwAAAAAA&#10;AAABACAAAAAiAAAAZHJzL2Rvd25yZXYueG1sUEsBAhQAFAAAAAgAh07iQK1ampoTAgAALgQAAA4A&#10;AAAAAAAAAQAgAAAAJwEAAGRycy9lMm9Eb2MueG1sUEsFBgAAAAAGAAYAWQEAAKwFAAAAAA==&#10;">
                <v:fill on="f" focussize="0,0"/>
                <v:stroke color="#FF0000" joinstyle="round"/>
                <v:imagedata o:title=""/>
                <o:lock v:ext="edit" aspectratio="f"/>
                <v:shadow on="t" color="#000000" opacity="16384f" offset="0pt,1.57716535433071pt" origin="0f,32768f" matrix="65536f,0f,0f,65536f"/>
              </v:line>
            </w:pict>
          </mc:Fallback>
        </mc:AlternateContent>
      </w:r>
    </w:p>
    <w:p>
      <w:pPr>
        <w:spacing w:line="360" w:lineRule="auto"/>
        <w:rPr>
          <w:rFonts w:hint="eastAsia" w:ascii="黑体" w:hAnsi="黑体" w:eastAsia="黑体" w:cs="黑体"/>
          <w:b/>
          <w:bCs/>
          <w:sz w:val="32"/>
          <w:szCs w:val="32"/>
        </w:rPr>
      </w:pPr>
    </w:p>
    <w:p>
      <w:pPr>
        <w:numPr>
          <w:ilvl w:val="0"/>
          <w:numId w:val="1"/>
        </w:numPr>
        <w:spacing w:line="360" w:lineRule="auto"/>
        <w:jc w:val="left"/>
        <w:rPr>
          <w:rFonts w:hint="eastAsia" w:ascii="黑体" w:hAnsi="黑体" w:eastAsia="黑体" w:cs="黑体"/>
          <w:b/>
          <w:bCs/>
          <w:sz w:val="32"/>
          <w:szCs w:val="32"/>
        </w:rPr>
      </w:pPr>
      <w:r>
        <w:rPr>
          <w:rFonts w:hint="eastAsia" w:ascii="黑体" w:hAnsi="黑体" w:eastAsia="黑体" w:cs="黑体"/>
          <w:b/>
          <w:bCs/>
          <w:sz w:val="32"/>
          <w:szCs w:val="32"/>
        </w:rPr>
        <w:t>我校召开校级领导班子“三严三实”专题民主生活会</w:t>
      </w:r>
    </w:p>
    <w:p>
      <w:pPr>
        <w:numPr>
          <w:ilvl w:val="0"/>
          <w:numId w:val="1"/>
        </w:numPr>
        <w:spacing w:line="360" w:lineRule="auto"/>
        <w:jc w:val="left"/>
        <w:rPr>
          <w:rFonts w:hint="eastAsia" w:ascii="黑体" w:hAnsi="黑体" w:eastAsia="黑体" w:cs="黑体"/>
          <w:b/>
          <w:bCs/>
          <w:sz w:val="32"/>
          <w:szCs w:val="32"/>
        </w:rPr>
      </w:pPr>
      <w:r>
        <w:rPr>
          <w:rFonts w:hint="eastAsia" w:ascii="黑体" w:hAnsi="黑体" w:eastAsia="黑体" w:cs="黑体"/>
          <w:b/>
          <w:bCs/>
          <w:sz w:val="32"/>
          <w:szCs w:val="32"/>
        </w:rPr>
        <w:t>研途有你——2016年郑州航院研究生迎新晚会圆满落幕</w:t>
      </w:r>
    </w:p>
    <w:p>
      <w:pPr>
        <w:numPr>
          <w:ilvl w:val="0"/>
          <w:numId w:val="1"/>
        </w:numPr>
        <w:spacing w:line="360" w:lineRule="auto"/>
        <w:jc w:val="left"/>
        <w:rPr>
          <w:rFonts w:hint="eastAsia" w:ascii="黑体" w:hAnsi="黑体" w:eastAsia="黑体" w:cs="黑体"/>
          <w:b/>
          <w:bCs/>
          <w:sz w:val="32"/>
          <w:szCs w:val="32"/>
        </w:rPr>
      </w:pPr>
      <w:r>
        <w:rPr>
          <w:rFonts w:hint="eastAsia" w:ascii="黑体" w:hAnsi="黑体" w:eastAsia="黑体" w:cs="黑体"/>
          <w:b/>
          <w:bCs/>
          <w:sz w:val="32"/>
          <w:szCs w:val="32"/>
        </w:rPr>
        <w:t>我校举行正处级干部任前集体谈话</w:t>
      </w:r>
    </w:p>
    <w:p>
      <w:pPr>
        <w:spacing w:line="360" w:lineRule="auto"/>
        <w:ind w:left="360"/>
        <w:jc w:val="left"/>
        <w:rPr>
          <w:rFonts w:hint="eastAsia" w:ascii="黑体" w:hAnsi="黑体" w:eastAsia="黑体" w:cs="黑体"/>
          <w:b/>
          <w:bCs/>
          <w:sz w:val="32"/>
          <w:szCs w:val="32"/>
        </w:rPr>
      </w:pPr>
    </w:p>
    <w:p>
      <w:pPr>
        <w:spacing w:line="360" w:lineRule="auto"/>
        <w:rPr>
          <w:rFonts w:hint="eastAsia" w:ascii="黑体" w:hAnsi="黑体" w:eastAsia="黑体" w:cs="黑体"/>
          <w:b/>
          <w:bCs/>
          <w:sz w:val="32"/>
          <w:szCs w:val="32"/>
        </w:rPr>
      </w:pPr>
      <w:r>
        <w:rPr>
          <w:rFonts w:hint="eastAsia" w:ascii="黑体" w:hAnsi="黑体" w:eastAsia="黑体" w:cs="黑体"/>
          <w:b/>
          <w:bCs/>
          <w:sz w:val="32"/>
          <w:szCs w:val="32"/>
        </w:rPr>
        <w:t>· 简  讯</w:t>
      </w:r>
    </w:p>
    <w:p>
      <w:pPr>
        <w:spacing w:line="360" w:lineRule="auto"/>
        <w:rPr>
          <w:rFonts w:hint="eastAsia" w:ascii="黑体" w:hAnsi="黑体" w:eastAsia="黑体" w:cs="黑体"/>
          <w:b/>
          <w:bCs/>
          <w:sz w:val="32"/>
          <w:szCs w:val="32"/>
        </w:rPr>
      </w:pPr>
    </w:p>
    <w:p>
      <w:pPr>
        <w:spacing w:line="360" w:lineRule="auto"/>
        <w:rPr>
          <w:rFonts w:hint="eastAsia" w:ascii="黑体" w:hAnsi="黑体" w:eastAsia="黑体" w:cs="黑体"/>
          <w:b/>
          <w:bCs/>
          <w:sz w:val="32"/>
          <w:szCs w:val="32"/>
        </w:rPr>
      </w:pPr>
    </w:p>
    <w:p>
      <w:pPr>
        <w:spacing w:line="360" w:lineRule="auto"/>
        <w:rPr>
          <w:rFonts w:hint="eastAsia" w:ascii="黑体" w:hAnsi="黑体" w:eastAsia="黑体" w:cs="黑体"/>
          <w:b/>
          <w:bCs/>
          <w:sz w:val="32"/>
          <w:szCs w:val="32"/>
        </w:rPr>
      </w:pPr>
    </w:p>
    <w:p>
      <w:pPr>
        <w:spacing w:line="360" w:lineRule="auto"/>
        <w:rPr>
          <w:rFonts w:hint="eastAsia" w:ascii="黑体" w:hAnsi="黑体" w:eastAsia="黑体" w:cs="黑体"/>
          <w:b/>
          <w:bCs/>
          <w:sz w:val="32"/>
          <w:szCs w:val="32"/>
        </w:rPr>
      </w:pPr>
    </w:p>
    <w:p>
      <w:pPr>
        <w:spacing w:line="360" w:lineRule="auto"/>
        <w:rPr>
          <w:rFonts w:hint="eastAsia" w:ascii="黑体" w:hAnsi="黑体" w:eastAsia="黑体" w:cs="黑体"/>
          <w:b/>
          <w:bCs/>
          <w:sz w:val="32"/>
          <w:szCs w:val="32"/>
        </w:rPr>
      </w:pPr>
    </w:p>
    <w:p>
      <w:pPr>
        <w:spacing w:line="360" w:lineRule="auto"/>
        <w:jc w:val="center"/>
        <w:rPr>
          <w:rFonts w:hint="eastAsia" w:ascii="黑体" w:hAnsi="黑体" w:eastAsia="黑体" w:cs="黑体"/>
          <w:b/>
          <w:bCs/>
          <w:sz w:val="32"/>
          <w:szCs w:val="32"/>
        </w:rPr>
      </w:pPr>
    </w:p>
    <w:p>
      <w:pPr>
        <w:spacing w:line="360" w:lineRule="auto"/>
        <w:jc w:val="center"/>
        <w:rPr>
          <w:rFonts w:hint="eastAsia" w:ascii="黑体" w:hAnsi="黑体" w:eastAsia="黑体" w:cs="黑体"/>
          <w:b/>
          <w:bCs/>
          <w:sz w:val="32"/>
          <w:szCs w:val="32"/>
        </w:rPr>
      </w:pPr>
      <w:r>
        <w:rPr>
          <w:lang w:val="zh-CN" w:eastAsia="zh-CN"/>
        </w:rPr>
        <w:drawing>
          <wp:anchor distT="0" distB="0" distL="114300" distR="114300" simplePos="0" relativeHeight="251659264" behindDoc="1" locked="0" layoutInCell="1" allowOverlap="1">
            <wp:simplePos x="0" y="0"/>
            <wp:positionH relativeFrom="column">
              <wp:align>center</wp:align>
            </wp:positionH>
            <wp:positionV relativeFrom="paragraph">
              <wp:posOffset>414020</wp:posOffset>
            </wp:positionV>
            <wp:extent cx="5059045" cy="2458720"/>
            <wp:effectExtent l="0" t="0" r="8255" b="17780"/>
            <wp:wrapTight wrapText="bothSides">
              <wp:wrapPolygon>
                <wp:start x="0" y="0"/>
                <wp:lineTo x="0" y="21421"/>
                <wp:lineTo x="21554" y="21421"/>
                <wp:lineTo x="21554" y="0"/>
                <wp:lineTo x="0" y="0"/>
              </wp:wrapPolygon>
            </wp:wrapTight>
            <wp:docPr id="3" name="图片 3" descr="20151219185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151219185532"/>
                    <pic:cNvPicPr>
                      <a:picLocks noChangeAspect="1"/>
                    </pic:cNvPicPr>
                  </pic:nvPicPr>
                  <pic:blipFill>
                    <a:blip r:embed="rId6"/>
                    <a:srcRect/>
                    <a:stretch>
                      <a:fillRect/>
                    </a:stretch>
                  </pic:blipFill>
                  <pic:spPr>
                    <a:xfrm>
                      <a:off x="0" y="0"/>
                      <a:ext cx="5059045" cy="2458720"/>
                    </a:xfrm>
                    <a:prstGeom prst="rect">
                      <a:avLst/>
                    </a:prstGeom>
                    <a:noFill/>
                    <a:ln w="9525">
                      <a:noFill/>
                      <a:miter/>
                    </a:ln>
                  </pic:spPr>
                </pic:pic>
              </a:graphicData>
            </a:graphic>
          </wp:anchor>
        </w:drawing>
      </w:r>
      <w:r>
        <w:rPr>
          <w:rFonts w:hint="eastAsia" w:ascii="黑体" w:hAnsi="黑体" w:eastAsia="黑体" w:cs="黑体"/>
          <w:b/>
          <w:bCs/>
          <w:sz w:val="32"/>
          <w:szCs w:val="32"/>
        </w:rPr>
        <w:t>我校召开校级领导班子“三严三实”专题民主生活会</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lang w:bidi="ar"/>
        </w:rPr>
        <w:t xml:space="preserve"> </w:t>
      </w:r>
      <w:r>
        <w:rPr>
          <w:rFonts w:hint="eastAsia" w:ascii="宋体" w:hAnsi="宋体" w:cs="宋体"/>
          <w:kern w:val="0"/>
          <w:sz w:val="24"/>
          <w:szCs w:val="24"/>
        </w:rPr>
        <w:t>按照省纪委、省委组织部《关于开好“三严三实”专题民主生活会的通知》（豫组通〔2015〕46号）要求和学校“三严三实”专题教育工作安排，12月19日，我校领导班子在东校区办公楼A409会议室召开“三严三实”专题民主生活会。、梁晓夏首先报告了校领导班子党的群众路线教育实践活动专题民主生活会整改方案落实情况，就学校列入台账的整改事项、确定的重点整改事项、专项整治事项的完成情况和整改措施成效等进行了汇报。</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校领导班子成员依次进行对照检查，紧扣“三严三实”主题，深入开展党性分析，查找了自身存在的修身做人、用权律己、干事创业等方面的不严不实问题和遵守党的政治纪律、政治规矩和组织纪律方面的问题，从理想信念、党性修养、权力观地位观利益观和道德品行等方面挖掘了根源，提出了具体可行的改进办法，明确了整改方向。</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孙洪臣对民主生活会召开情况进行了点评，认为我校领导班子“三严三实”专题民主生活会，会前准备充分，围绕主题紧密，发言内容全面，问题查摆准确，挖掘根源深刻，整改措施务实，相互批评诚恳，发扬了批评与自我批评的优良传统，体现了从严从实的精神，达到了标准和预期效果，开得很好很成功。</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梁晓夏代表校领导班子对巡回检查组表示感谢，认为巡回检查组的充分肯定和指导帮助是对学校深入开展好“三严三实”专题教育的鼓励和鞭策，领导班子和成员要把“三严三实”贯彻到学校工作始终，做到扎实谋划，找准抓手，落实举措，抓出成效；同时要细化整改方案，务求整改实效，让师生员工看到专题教育成果，进一步树立“聚人心、树正气、抓发展”的良好氛围。</w:t>
      </w:r>
    </w:p>
    <w:p>
      <w:pPr>
        <w:spacing w:line="360" w:lineRule="auto"/>
        <w:jc w:val="center"/>
        <w:rPr>
          <w:rFonts w:hint="eastAsia" w:ascii="黑体" w:hAnsi="黑体" w:eastAsia="黑体" w:cs="黑体"/>
          <w:b/>
          <w:bCs/>
          <w:sz w:val="32"/>
          <w:szCs w:val="32"/>
        </w:rPr>
      </w:pPr>
      <w:r>
        <w:rPr>
          <w:lang w:val="zh-CN" w:eastAsia="zh-CN"/>
        </w:rPr>
        <w:drawing>
          <wp:anchor distT="0" distB="0" distL="114300" distR="114300" simplePos="0" relativeHeight="251660288" behindDoc="1" locked="0" layoutInCell="1" allowOverlap="1">
            <wp:simplePos x="0" y="0"/>
            <wp:positionH relativeFrom="column">
              <wp:align>center</wp:align>
            </wp:positionH>
            <wp:positionV relativeFrom="paragraph">
              <wp:posOffset>396240</wp:posOffset>
            </wp:positionV>
            <wp:extent cx="5145405" cy="2726055"/>
            <wp:effectExtent l="0" t="0" r="17145" b="17145"/>
            <wp:wrapTight wrapText="bothSides">
              <wp:wrapPolygon>
                <wp:start x="0" y="0"/>
                <wp:lineTo x="0" y="21434"/>
                <wp:lineTo x="21512" y="21434"/>
                <wp:lineTo x="21512" y="0"/>
                <wp:lineTo x="0" y="0"/>
              </wp:wrapPolygon>
            </wp:wrapTight>
            <wp:docPr id="2" name="图片 2" descr="201512231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15122310127"/>
                    <pic:cNvPicPr>
                      <a:picLocks noChangeAspect="1"/>
                    </pic:cNvPicPr>
                  </pic:nvPicPr>
                  <pic:blipFill>
                    <a:blip r:embed="rId7"/>
                    <a:srcRect l="255"/>
                    <a:stretch>
                      <a:fillRect/>
                    </a:stretch>
                  </pic:blipFill>
                  <pic:spPr>
                    <a:xfrm>
                      <a:off x="0" y="0"/>
                      <a:ext cx="5145405" cy="2726055"/>
                    </a:xfrm>
                    <a:prstGeom prst="rect">
                      <a:avLst/>
                    </a:prstGeom>
                    <a:noFill/>
                    <a:ln w="9525">
                      <a:noFill/>
                      <a:miter/>
                    </a:ln>
                  </pic:spPr>
                </pic:pic>
              </a:graphicData>
            </a:graphic>
          </wp:anchor>
        </w:drawing>
      </w:r>
      <w:r>
        <w:rPr>
          <w:rFonts w:hint="eastAsia" w:ascii="黑体" w:hAnsi="黑体" w:eastAsia="黑体" w:cs="黑体"/>
          <w:b/>
          <w:bCs/>
          <w:sz w:val="32"/>
          <w:szCs w:val="32"/>
        </w:rPr>
        <w:t>研途有你——2016年郑州航院研究生迎新晚会圆满落幕</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书香氤氲，万象争荣；研途有你，共谱华章。12月22日晚，“研途有你——2016年郑州航院研究生迎新晚会”在东校区01A203隆重举行。</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晚会在郑航研究生会录制的视频《2016•On the way》中拉开了序幕。整台晚会节目形式多样、内容丰富。歌曲、舞蹈、魔术、小品、相声、朗诵以及器乐合奏等轮番上场，整场晚会高潮迭起、气氛热烈。在精彩的舞蹈《狂放》开场后，研究生编排的小品《甄嬛归来》语言诙谐幽默，表演夸张到位，引得现场观众捧腹大笑；老师们深情朗诵的《远航》赢得阵阵掌声；舞蹈《玉生烟》舞姿轻盈飘逸，极具韵味；《武术串烧》将晚会推向高潮；相声《我爱郑航》包袱连连，笑点不断，赢得了全场欢呼与掌声；魔术《穿越》、拉丁舞《Angelina》、萨克斯演奏的《美丽的神话》、合唱《默》、《春泥》、《一起摇摆》……整场新年晚会将现代与传统相融合，集视觉盛宴与听觉盛宴于一体，为观众带来了一场精彩纷呈的难忘之旅。最后，一首《青春修炼手册》high翻全场，所有观众都按捺不住兴奋的心情，跟着节奏摇摆、挥手、欢呼。晚会现场还设置了最具人气节目微信抽奖和微信墙互动环节，拉近了舞台与观众的距离。</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本次迎新晚会由研究生处主办，研究生会承办。在培养学院的支持配合下，校研究生会历经两个多月的筹备，精抓细节，克服困难，保证了广大研究生能够在完备的舞台轻松演出，为研究生文化活动平台的搭建提供了有效的载体与有利的保证，极大丰富了研究生学术科研之余的文化生活。</w:t>
      </w:r>
    </w:p>
    <w:p>
      <w:pPr>
        <w:widowControl/>
        <w:spacing w:line="360" w:lineRule="auto"/>
        <w:ind w:firstLine="321" w:firstLineChars="100"/>
        <w:jc w:val="center"/>
        <w:rPr>
          <w:rFonts w:hint="eastAsia" w:ascii="黑体" w:hAnsi="黑体" w:eastAsia="黑体" w:cs="黑体"/>
          <w:b/>
          <w:bCs/>
          <w:sz w:val="32"/>
          <w:szCs w:val="32"/>
        </w:rPr>
      </w:pPr>
      <w:r>
        <w:rPr>
          <w:rFonts w:hint="eastAsia" w:ascii="黑体" w:hAnsi="黑体" w:eastAsia="黑体" w:cs="黑体"/>
          <w:b/>
          <w:bCs/>
          <w:sz w:val="32"/>
          <w:szCs w:val="32"/>
        </w:rPr>
        <w:t>我校举行正处级干部任前集体谈话</w:t>
      </w:r>
      <w:r>
        <w:rPr>
          <w:rFonts w:hint="eastAsia" w:ascii="黑体" w:hAnsi="黑体" w:eastAsia="黑体" w:cs="黑体"/>
          <w:b/>
          <w:bCs/>
          <w:sz w:val="32"/>
          <w:szCs w:val="32"/>
        </w:rPr>
        <w:drawing>
          <wp:inline distT="0" distB="0" distL="114300" distR="114300">
            <wp:extent cx="5032375" cy="2548890"/>
            <wp:effectExtent l="0" t="0" r="15875" b="3810"/>
            <wp:docPr id="4" name="图片 4" descr="2015122711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151227115610"/>
                    <pic:cNvPicPr>
                      <a:picLocks noChangeAspect="1"/>
                    </pic:cNvPicPr>
                  </pic:nvPicPr>
                  <pic:blipFill>
                    <a:blip r:embed="rId8"/>
                    <a:srcRect l="484" t="10939"/>
                    <a:stretch>
                      <a:fillRect/>
                    </a:stretch>
                  </pic:blipFill>
                  <pic:spPr>
                    <a:xfrm>
                      <a:off x="0" y="0"/>
                      <a:ext cx="5032375" cy="2548890"/>
                    </a:xfrm>
                    <a:prstGeom prst="rect">
                      <a:avLst/>
                    </a:prstGeom>
                    <a:noFill/>
                    <a:ln w="9525">
                      <a:noFill/>
                      <a:miter/>
                    </a:ln>
                  </pic:spPr>
                </pic:pic>
              </a:graphicData>
            </a:graphic>
          </wp:inline>
        </w:drawing>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12月27日上午，校党委在东校区办公楼第二会议室举行正处级干部任前集体谈话，标志着学校2015年处级干部换届第一轮干部调整工作顺利完成。</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会上，党委副书记闫纪建宣读了职务任免文件。党委副书记、纪委书记石培哲对全体履新的正处级干部提出了五点廉政要求，一要增强责任意识，认真履行党风廉政建设主体责任；二要按照“三严三实”要求，带头廉洁自律；三要牢记宗旨，自觉接受监督；四要勤于学习，加强自身修养；五要认真高效，做好岗位交接。</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党委书记梁晓夏发表讲话，他介绍了前一阶段换届工作开展情况，阐述了这次处级正职岗位调整的几个原则，并肯定了这次换届过程中展现出来的良好风气。他向新调整到位的全体正处级干部表示热烈祝贺，并提出四点要求。</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此次处级干部换届第一轮调整中，共有55位正处级干部履任新职。下一步，将按照工作环节对空缺的正处级岗位和全部副处级岗位进行选拔任用。</w:t>
      </w:r>
    </w:p>
    <w:p>
      <w:pPr>
        <w:spacing w:line="360" w:lineRule="auto"/>
        <w:ind w:firstLine="643" w:firstLineChars="200"/>
        <w:rPr>
          <w:rFonts w:hint="eastAsia" w:ascii="黑体" w:hAnsi="黑体" w:eastAsia="黑体" w:cs="黑体"/>
          <w:b/>
          <w:bCs/>
          <w:sz w:val="32"/>
          <w:szCs w:val="32"/>
        </w:rPr>
      </w:pPr>
    </w:p>
    <w:p>
      <w:pPr>
        <w:spacing w:line="360" w:lineRule="auto"/>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简   讯</w:t>
      </w:r>
    </w:p>
    <w:p>
      <w:pPr>
        <w:spacing w:line="360" w:lineRule="auto"/>
        <w:ind w:firstLine="480" w:firstLineChars="200"/>
        <w:rPr>
          <w:rFonts w:hint="eastAsia" w:ascii="宋体" w:hAnsi="宋体" w:cs="宋体"/>
          <w:kern w:val="0"/>
          <w:sz w:val="24"/>
          <w:szCs w:val="24"/>
        </w:rPr>
      </w:pPr>
      <w:r>
        <w:rPr>
          <w:rFonts w:hint="eastAsia" w:ascii="宋体" w:hAnsi="宋体"/>
          <w:sz w:val="24"/>
          <w:szCs w:val="24"/>
        </w:rPr>
        <w:t>★</w:t>
      </w:r>
      <w:r>
        <w:rPr>
          <w:rFonts w:hint="eastAsia" w:ascii="宋体" w:hAnsi="宋体" w:cs="宋体"/>
          <w:kern w:val="0"/>
          <w:sz w:val="24"/>
          <w:szCs w:val="24"/>
        </w:rPr>
        <w:t xml:space="preserve"> 近日，我校学子喜获“中关村青联杯”第十二届全国研究生数学建模竞赛三等奖。</w:t>
      </w:r>
    </w:p>
    <w:p>
      <w:pPr>
        <w:spacing w:after="312" w:afterLines="100" w:line="360" w:lineRule="auto"/>
        <w:ind w:firstLine="480" w:firstLineChars="200"/>
      </w:pPr>
      <w:r>
        <w:rPr>
          <w:rFonts w:hint="eastAsia" w:ascii="宋体" w:hAnsi="宋体" w:cs="楷体_GB2312"/>
          <w:kern w:val="0"/>
          <w:sz w:val="24"/>
          <w:szCs w:val="22"/>
        </w:rPr>
        <w:t xml:space="preserve">★ </w:t>
      </w:r>
      <w:r>
        <w:rPr>
          <w:rFonts w:hint="eastAsia" w:ascii="宋体" w:hAnsi="宋体" w:cs="宋体"/>
          <w:kern w:val="0"/>
          <w:sz w:val="24"/>
          <w:szCs w:val="24"/>
        </w:rPr>
        <w:t>12月22日、23日，河南电视台、腾讯视频、《郑州晚报》（客户端）等多家媒体报道我校 “蒲公英支教大队”大学生志愿者与社会爱心人士一起，为住院白血病患儿举办圣诞派对的消息。</w:t>
      </w:r>
      <w:bookmarkStart w:id="0" w:name="_GoBack"/>
      <w:bookmarkEnd w:id="0"/>
    </w:p>
    <w:sectPr>
      <w:headerReference r:id="rId3"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25529093">
    <w:nsid w:val="72C53E05"/>
    <w:multiLevelType w:val="multilevel"/>
    <w:tmpl w:val="72C53E05"/>
    <w:lvl w:ilvl="0" w:tentative="1">
      <w:start w:val="15"/>
      <w:numFmt w:val="bullet"/>
      <w:lvlText w:val="·"/>
      <w:lvlJc w:val="left"/>
      <w:pPr>
        <w:ind w:left="360" w:hanging="360"/>
      </w:pPr>
      <w:rPr>
        <w:rFonts w:hint="eastAsia" w:ascii="黑体" w:hAnsi="黑体" w:eastAsia="黑体" w:cs="黑体"/>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num w:numId="1">
    <w:abstractNumId w:val="19255290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16A2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5">
    <w:name w:val="列出段落1"/>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2016-01-04T04:03:28Z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